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80" w:rightFromText="180" w:vertAnchor="page" w:horzAnchor="margin" w:tblpY="4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B1306F" w14:paraId="0A28B366" w14:textId="77777777" w:rsidTr="009122F4">
        <w:trPr>
          <w:trHeight w:val="5210"/>
        </w:trPr>
        <w:tc>
          <w:tcPr>
            <w:tcW w:w="3415" w:type="dxa"/>
          </w:tcPr>
          <w:p w14:paraId="35549D70" w14:textId="212A13C4" w:rsidR="00B1306F" w:rsidRPr="003F768A" w:rsidRDefault="00B1306F" w:rsidP="00B1306F">
            <w:pPr>
              <w:pStyle w:val="Akapitzlist"/>
              <w:spacing w:after="115" w:line="240" w:lineRule="auto"/>
              <w:ind w:left="180"/>
              <w:jc w:val="left"/>
              <w:rPr>
                <w:rStyle w:val="contacthyperlink"/>
              </w:rPr>
            </w:pPr>
            <w:r w:rsidRPr="00030C94">
              <w:rPr>
                <w:rFonts w:ascii="Barlow" w:hAnsi="Barlow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50969" wp14:editId="652DD3E2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2164080" cy="800100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4080" cy="800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DF25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25BE0E" w14:textId="77777777" w:rsidR="00B1306F" w:rsidRPr="00161844" w:rsidRDefault="00B1306F" w:rsidP="00B1306F">
                                  <w:pPr>
                                    <w:spacing w:after="405"/>
                                    <w:jc w:val="center"/>
                                    <w:rPr>
                                      <w:rFonts w:cs="Calibri"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  <w:t>INFORMACJE O FIRMIE</w:t>
                                  </w:r>
                                </w:p>
                                <w:p w14:paraId="77F8F480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GOODYEAR POLSKA </w:t>
                                  </w:r>
                                </w:p>
                                <w:p w14:paraId="24C8D567" w14:textId="77777777" w:rsidR="00B1306F" w:rsidRPr="00A40ACF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  <w:r w:rsidRPr="00A40ACF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lang w:val="pl-PL"/>
                                    </w:rPr>
                                    <w:t xml:space="preserve">SP. Z O.O.: 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  <w:br/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UL. Krakowiaków 46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br/>
                                    <w:t>02-255 Warszawa</w:t>
                                  </w:r>
                                </w:p>
                                <w:p w14:paraId="47AF907B" w14:textId="77777777" w:rsidR="00B1306F" w:rsidRPr="00A40ACF" w:rsidRDefault="00B1306F" w:rsidP="00B1306F">
                                  <w:pPr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</w:p>
                                <w:p w14:paraId="3546A423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115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NEWSROOM:  </w:t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</w:rPr>
                                    <w:br/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u w:val="single"/>
                                    </w:rPr>
                                    <w:t>https://news.goodyear.eu/pl-pl/</w:t>
                                  </w:r>
                                </w:p>
                                <w:p w14:paraId="7213AA4E" w14:textId="77777777" w:rsidR="00B1306F" w:rsidRPr="00161844" w:rsidRDefault="00B1306F" w:rsidP="00B1306F">
                                  <w:pPr>
                                    <w:spacing w:after="115"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</w:p>
                                <w:p w14:paraId="77795922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54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Więcej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informacji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udzielają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: </w:t>
                                  </w:r>
                                </w:p>
                                <w:p w14:paraId="055D75A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  <w:t xml:space="preserve">BEATA CHĄDZYŃSKA </w:t>
                                  </w:r>
                                </w:p>
                                <w:p w14:paraId="6D77245D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Group Communications Manager EEN</w:t>
                                  </w:r>
                                </w:p>
                                <w:p w14:paraId="0EBAF36F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Goodyear Polska Sp. z o.o. </w:t>
                                  </w:r>
                                </w:p>
                                <w:p w14:paraId="35198F50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725 370 048 </w:t>
                                  </w:r>
                                </w:p>
                                <w:p w14:paraId="309BCD6D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beata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_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chadzynska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@goodyear.com   </w:t>
                                  </w:r>
                                </w:p>
                                <w:p w14:paraId="64248E82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</w:p>
                                <w:p w14:paraId="697C0F1B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MARLENA GARUCKA-KUBAJEK</w:t>
                                  </w:r>
                                </w:p>
                                <w:p w14:paraId="575C5EA4" w14:textId="77777777" w:rsidR="00B1306F" w:rsidRPr="00F45B5F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</w:pPr>
                                  <w:r w:rsidRPr="00F45B5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  <w:t xml:space="preserve">Biuro Prasowe Goodyear </w:t>
                                  </w:r>
                                </w:p>
                                <w:p w14:paraId="0DA79FA2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Alert Media Communications</w:t>
                                  </w:r>
                                </w:p>
                                <w:p w14:paraId="72A3CC7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tel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: 506 051 987</w:t>
                                  </w:r>
                                </w:p>
                                <w:p w14:paraId="10E7B711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goodyear@alertmedia.pl</w:t>
                                  </w:r>
                                </w:p>
                                <w:p w14:paraId="2466C5BE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BCD734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989CD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F58A00" w14:textId="77777777" w:rsidR="00BA251F" w:rsidRDefault="00BA251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1C4B6DF" w14:textId="77777777" w:rsidR="00B1306F" w:rsidRDefault="00B1306F" w:rsidP="00B1306F"/>
                                <w:p w14:paraId="53306334" w14:textId="77777777" w:rsidR="00AA75C0" w:rsidRDefault="00AA75C0" w:rsidP="00B130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50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8pt;margin-top:0;width:170.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" filled="f" stroked="f">
                      <v:textbox>
                        <w:txbxContent>
                          <w:p w14:paraId="125DF25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925BE0E" w14:textId="77777777" w:rsidR="00B1306F" w:rsidRPr="00161844" w:rsidRDefault="00B1306F" w:rsidP="00B1306F">
                            <w:pPr>
                              <w:spacing w:after="405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7F8F480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24C8D567" w14:textId="77777777" w:rsidR="00B1306F" w:rsidRPr="00A40ACF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47AF907B" w14:textId="77777777" w:rsidR="00B1306F" w:rsidRPr="00A40ACF" w:rsidRDefault="00B1306F" w:rsidP="00B1306F">
                            <w:pPr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3546A423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6"/>
                              </w:numPr>
                              <w:spacing w:after="115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7213AA4E" w14:textId="77777777" w:rsidR="00B1306F" w:rsidRPr="00161844" w:rsidRDefault="00B1306F" w:rsidP="00B1306F">
                            <w:pPr>
                              <w:spacing w:after="115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77795922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7"/>
                              </w:numPr>
                              <w:spacing w:after="54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055D75A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6D77245D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0EBAF36F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Sp. z o.o. </w:t>
                            </w:r>
                          </w:p>
                          <w:p w14:paraId="35198F50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309BCD6D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64248E82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697C0F1B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75C5EA4" w14:textId="77777777" w:rsidR="00B1306F" w:rsidRPr="00F45B5F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F45B5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  <w:t xml:space="preserve">Biuro Prasowe Goodyear </w:t>
                            </w:r>
                          </w:p>
                          <w:p w14:paraId="0DA79FA2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72A3CC7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10E7B711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2466C5BE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5BCD734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8989CD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BF58A00" w14:textId="77777777" w:rsidR="00BA251F" w:rsidRDefault="00BA251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1C4B6DF" w14:textId="77777777" w:rsidR="00B1306F" w:rsidRDefault="00B1306F" w:rsidP="00B1306F"/>
                          <w:p w14:paraId="53306334" w14:textId="77777777" w:rsidR="00AA75C0" w:rsidRDefault="00AA75C0" w:rsidP="00B1306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80" w:rightFromText="180" w:vertAnchor="page" w:horzAnchor="margin" w:tblpXSpec="right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30"/>
      </w:tblGrid>
      <w:tr w:rsidR="00376807" w:rsidRPr="00711898" w14:paraId="3D06E3C0" w14:textId="77777777" w:rsidTr="00634EDC">
        <w:trPr>
          <w:trHeight w:val="7010"/>
        </w:trPr>
        <w:tc>
          <w:tcPr>
            <w:tcW w:w="7830" w:type="dxa"/>
          </w:tcPr>
          <w:p w14:paraId="5676FE22" w14:textId="57E6F171" w:rsidR="00376807" w:rsidRPr="002D485F" w:rsidRDefault="00B1306F" w:rsidP="00634EDC">
            <w:pPr>
              <w:pStyle w:val="NEWSRELEASE"/>
              <w:rPr>
                <w:lang w:val="pl-PL"/>
              </w:rPr>
            </w:pPr>
            <w:r w:rsidRPr="002D485F">
              <w:rPr>
                <w:lang w:val="pl-PL"/>
              </w:rPr>
              <w:t>INFORMACJA PRASOWA</w:t>
            </w:r>
          </w:p>
          <w:p w14:paraId="4FF63D32" w14:textId="3488A5EB" w:rsidR="007253EB" w:rsidRPr="00711898" w:rsidRDefault="007253EB" w:rsidP="00A2643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</w:pPr>
            <w:r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IAA </w:t>
            </w:r>
            <w:proofErr w:type="spellStart"/>
            <w:r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Transportation</w:t>
            </w:r>
            <w:proofErr w:type="spellEnd"/>
            <w:r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2024: </w:t>
            </w:r>
            <w:proofErr w:type="spellStart"/>
            <w:r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Goodyear</w:t>
            </w:r>
            <w:proofErr w:type="spellEnd"/>
            <w:r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</w:t>
            </w:r>
            <w:r w:rsidR="00BE5CA9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pokaże </w:t>
            </w:r>
            <w:r w:rsidR="003C50C0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rozwiąza</w:t>
            </w:r>
            <w:r w:rsidR="001E1E49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nia</w:t>
            </w:r>
            <w:r w:rsidR="003C50C0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</w:t>
            </w:r>
            <w:r w:rsidR="001E1E49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dla flot </w:t>
            </w:r>
            <w:r w:rsidR="003C50C0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Total </w:t>
            </w:r>
            <w:proofErr w:type="spellStart"/>
            <w:r w:rsidR="003C50C0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Mobility</w:t>
            </w:r>
            <w:proofErr w:type="spellEnd"/>
            <w:r w:rsidR="003C50C0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 </w:t>
            </w:r>
            <w:r w:rsidR="001E1E49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 xml:space="preserve">wraz z nową ofertą </w:t>
            </w:r>
            <w:proofErr w:type="spellStart"/>
            <w:r w:rsidR="001E1E49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Tires</w:t>
            </w:r>
            <w:proofErr w:type="spellEnd"/>
            <w:r w:rsidR="001E1E49" w:rsidRPr="00711898">
              <w:rPr>
                <w:rFonts w:ascii="Barlow" w:hAnsi="Barlow" w:cs="Arial"/>
                <w:b/>
                <w:bCs/>
                <w:color w:val="272727"/>
                <w:spacing w:val="2"/>
                <w:lang w:val="pl-PL"/>
              </w:rPr>
              <w:t>-As-a-Service</w:t>
            </w:r>
          </w:p>
          <w:p w14:paraId="094EB59B" w14:textId="6DE3D002" w:rsidR="007253EB" w:rsidRDefault="00B1306F" w:rsidP="007253E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Warszawa</w:t>
            </w:r>
            <w:r w:rsidR="00376807"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C620BF"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7253E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29</w:t>
            </w:r>
            <w:r w:rsidR="00A16DCD"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125B0C"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lip</w:t>
            </w:r>
            <w:r w:rsidR="003E0243"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ca</w:t>
            </w:r>
            <w:r w:rsidR="00376807"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2024</w:t>
            </w:r>
            <w:r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r.</w:t>
            </w:r>
            <w:r w:rsidR="00376807" w:rsidRPr="00A2209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76807" w:rsidRPr="007253EB">
              <w:rPr>
                <w:rFonts w:ascii="Barlow" w:hAnsi="Barlow"/>
                <w:sz w:val="22"/>
                <w:szCs w:val="22"/>
                <w:lang w:val="pl-PL"/>
              </w:rPr>
              <w:t>–</w:t>
            </w:r>
            <w:r w:rsidR="00A26430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Podczas targów IAA </w:t>
            </w:r>
            <w:proofErr w:type="spellStart"/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>Transportation</w:t>
            </w:r>
            <w:proofErr w:type="spellEnd"/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2024, 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 xml:space="preserve">które odbędą się w dniach 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>17-22 września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 xml:space="preserve"> w Hanowerze,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 xml:space="preserve">firma Goodyear 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zaprezentuje 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 xml:space="preserve">swój 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>kompleksow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>y pakiet rozwiązań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Total </w:t>
            </w:r>
            <w:proofErr w:type="spellStart"/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>Mobility</w:t>
            </w:r>
            <w:proofErr w:type="spellEnd"/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, 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 xml:space="preserve">umożliwiający </w:t>
            </w:r>
            <w:r w:rsidR="00BE5CA9">
              <w:rPr>
                <w:rFonts w:ascii="Barlow" w:hAnsi="Barlow"/>
                <w:sz w:val="22"/>
                <w:szCs w:val="22"/>
                <w:lang w:val="pl-PL"/>
              </w:rPr>
              <w:t xml:space="preserve">flotom 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>realizację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celów zrównoważonego rozwoju</w:t>
            </w:r>
            <w:r w:rsidR="00BE5CA9">
              <w:rPr>
                <w:rFonts w:ascii="Barlow" w:hAnsi="Barlow"/>
                <w:sz w:val="22"/>
                <w:szCs w:val="22"/>
                <w:lang w:val="pl-PL"/>
              </w:rPr>
              <w:t xml:space="preserve"> bez uszczerbku w zakresie zwiększania</w:t>
            </w:r>
            <w:r w:rsidR="00BE5CA9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wydajności i konkurencyjności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>.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>P</w:t>
            </w:r>
            <w:r w:rsidR="00486788">
              <w:rPr>
                <w:rFonts w:ascii="Barlow" w:hAnsi="Barlow"/>
                <w:sz w:val="22"/>
                <w:szCs w:val="22"/>
                <w:lang w:val="pl-PL"/>
              </w:rPr>
              <w:t xml:space="preserve">roducent 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 xml:space="preserve">przybliży również zasady działania </w:t>
            </w:r>
            <w:r w:rsidR="00486788">
              <w:rPr>
                <w:rFonts w:ascii="Barlow" w:hAnsi="Barlow"/>
                <w:sz w:val="22"/>
                <w:szCs w:val="22"/>
                <w:lang w:val="pl-PL"/>
              </w:rPr>
              <w:t xml:space="preserve">swojej nowej oferty </w:t>
            </w:r>
            <w:proofErr w:type="spellStart"/>
            <w:r w:rsidR="00486788" w:rsidRPr="00486788">
              <w:rPr>
                <w:rFonts w:ascii="Barlow" w:hAnsi="Barlow"/>
                <w:sz w:val="22"/>
                <w:szCs w:val="22"/>
                <w:lang w:val="pl-PL"/>
              </w:rPr>
              <w:t>Tires</w:t>
            </w:r>
            <w:proofErr w:type="spellEnd"/>
            <w:r w:rsidR="00486788" w:rsidRPr="00486788">
              <w:rPr>
                <w:rFonts w:ascii="Barlow" w:hAnsi="Barlow"/>
                <w:sz w:val="22"/>
                <w:szCs w:val="22"/>
                <w:lang w:val="pl-PL"/>
              </w:rPr>
              <w:t xml:space="preserve">-As-a-Service, czyli 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>‘</w:t>
            </w:r>
            <w:r w:rsidR="00486788" w:rsidRPr="00486788">
              <w:rPr>
                <w:rFonts w:ascii="Barlow" w:hAnsi="Barlow"/>
                <w:sz w:val="22"/>
                <w:szCs w:val="22"/>
                <w:lang w:val="pl-PL"/>
              </w:rPr>
              <w:t>opon</w:t>
            </w:r>
            <w:r w:rsidR="00486788">
              <w:rPr>
                <w:rFonts w:ascii="Barlow" w:hAnsi="Barlow"/>
                <w:sz w:val="22"/>
                <w:szCs w:val="22"/>
                <w:lang w:val="pl-PL"/>
              </w:rPr>
              <w:t>y</w:t>
            </w:r>
            <w:r w:rsidR="00486788" w:rsidRPr="00486788">
              <w:rPr>
                <w:rFonts w:ascii="Barlow" w:hAnsi="Barlow"/>
                <w:sz w:val="22"/>
                <w:szCs w:val="22"/>
                <w:lang w:val="pl-PL"/>
              </w:rPr>
              <w:t xml:space="preserve"> jako usług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>a’</w:t>
            </w:r>
            <w:r w:rsidR="00486788">
              <w:rPr>
                <w:rFonts w:ascii="Barlow" w:hAnsi="Barlow"/>
                <w:sz w:val="22"/>
                <w:szCs w:val="22"/>
                <w:lang w:val="pl-PL"/>
              </w:rPr>
              <w:t>.</w:t>
            </w:r>
            <w:r w:rsidR="00486788" w:rsidRPr="00486788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>Stoisko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>Goodyeara</w:t>
            </w:r>
            <w:proofErr w:type="spellEnd"/>
            <w:r w:rsidR="007253EB">
              <w:rPr>
                <w:rFonts w:ascii="Barlow" w:hAnsi="Barlow"/>
                <w:sz w:val="22"/>
                <w:szCs w:val="22"/>
                <w:lang w:val="pl-PL"/>
              </w:rPr>
              <w:t xml:space="preserve"> będzie zlokalizowane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w hali 21, 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>na stanowisku</w:t>
            </w:r>
            <w:r w:rsidR="007253EB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B38</w:t>
            </w:r>
            <w:r w:rsidR="007253EB"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5C1DD791" w14:textId="12E5DFBB" w:rsidR="00EF0D8D" w:rsidRDefault="00EF0D8D" w:rsidP="007253E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Targi IAA </w:t>
            </w:r>
            <w:proofErr w:type="spellStart"/>
            <w:r w:rsidRPr="00EF0D8D">
              <w:rPr>
                <w:rFonts w:ascii="Barlow" w:hAnsi="Barlow"/>
                <w:sz w:val="22"/>
                <w:szCs w:val="22"/>
                <w:lang w:val="pl-PL"/>
              </w:rPr>
              <w:t>Transportation</w:t>
            </w:r>
            <w:proofErr w:type="spellEnd"/>
            <w:r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, będące wiodącą międzynarodową platformą dla pojazdów użytkowych, transportu i logistyki, stanowią dla </w:t>
            </w:r>
            <w:proofErr w:type="spellStart"/>
            <w:r w:rsidRPr="00EF0D8D">
              <w:rPr>
                <w:rFonts w:ascii="Barlow" w:hAnsi="Barlow"/>
                <w:sz w:val="22"/>
                <w:szCs w:val="22"/>
                <w:lang w:val="pl-PL"/>
              </w:rPr>
              <w:t>Goodyeara</w:t>
            </w:r>
            <w:proofErr w:type="spellEnd"/>
            <w:r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 doskonałą okazję do zaprezentowania innowacyjnych produktów i usług w ramach pakietu Total </w:t>
            </w:r>
            <w:proofErr w:type="spellStart"/>
            <w:r w:rsidRPr="00EF0D8D">
              <w:rPr>
                <w:rFonts w:ascii="Barlow" w:hAnsi="Barlow"/>
                <w:sz w:val="22"/>
                <w:szCs w:val="22"/>
                <w:lang w:val="pl-PL"/>
              </w:rPr>
              <w:t>Mobility</w:t>
            </w:r>
            <w:proofErr w:type="spellEnd"/>
            <w:r w:rsidRPr="00EF0D8D">
              <w:rPr>
                <w:rFonts w:ascii="Barlow" w:hAnsi="Barlow"/>
                <w:sz w:val="22"/>
                <w:szCs w:val="22"/>
                <w:lang w:val="pl-PL"/>
              </w:rPr>
              <w:t>, które wspierają floty transportowe w dynamicznie zmieniającym się krajobrazie logistycznym.</w:t>
            </w:r>
            <w:r w:rsidR="00BE5CA9">
              <w:rPr>
                <w:rFonts w:ascii="Barlow" w:hAnsi="Barlow"/>
                <w:sz w:val="22"/>
                <w:szCs w:val="22"/>
                <w:lang w:val="pl-PL"/>
              </w:rPr>
              <w:t xml:space="preserve"> Goodyear jest przekonany, że d</w:t>
            </w:r>
            <w:r w:rsidR="00BE5CA9" w:rsidRPr="00BE5CA9">
              <w:rPr>
                <w:rFonts w:ascii="Barlow" w:hAnsi="Barlow"/>
                <w:sz w:val="22"/>
                <w:szCs w:val="22"/>
                <w:lang w:val="pl-PL"/>
              </w:rPr>
              <w:t>zięki kompleksowym rozwiązaniom w zakresie mobilności zrównoważony rozwój i wysoka wydajność mogą być zintegrowanymi celami.</w:t>
            </w:r>
          </w:p>
          <w:p w14:paraId="4CEAE7E6" w14:textId="53902665" w:rsidR="007253EB" w:rsidRPr="007253EB" w:rsidRDefault="007253EB" w:rsidP="007253E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</w:pPr>
            <w:r w:rsidRPr="007253EB"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  <w:t>Opony jako usługa</w:t>
            </w:r>
          </w:p>
          <w:p w14:paraId="6ACF4BFA" w14:textId="51F18EEC" w:rsidR="007253EB" w:rsidRDefault="007253EB" w:rsidP="007253E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Oprócz znanych już rozwiązań, Goodyear przedstawi niedawno wprowadzoną ofertę </w:t>
            </w:r>
            <w:proofErr w:type="spellStart"/>
            <w:r w:rsidRPr="007253EB">
              <w:rPr>
                <w:rFonts w:ascii="Barlow" w:hAnsi="Barlow"/>
                <w:sz w:val="22"/>
                <w:szCs w:val="22"/>
                <w:lang w:val="pl-PL"/>
              </w:rPr>
              <w:t>Tires</w:t>
            </w:r>
            <w:proofErr w:type="spellEnd"/>
            <w:r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-As-a-Service, czyli </w:t>
            </w:r>
            <w:r w:rsidR="001E1E49">
              <w:rPr>
                <w:rFonts w:ascii="Barlow" w:hAnsi="Barlow"/>
                <w:sz w:val="22"/>
                <w:szCs w:val="22"/>
                <w:lang w:val="pl-PL"/>
              </w:rPr>
              <w:t>‘</w:t>
            </w:r>
            <w:r w:rsidRPr="007253EB">
              <w:rPr>
                <w:rFonts w:ascii="Barlow" w:hAnsi="Barlow"/>
                <w:sz w:val="22"/>
                <w:szCs w:val="22"/>
                <w:lang w:val="pl-PL"/>
              </w:rPr>
              <w:t>opon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>y</w:t>
            </w:r>
            <w:r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jako usług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>a</w:t>
            </w:r>
            <w:r w:rsidR="001E1E49">
              <w:rPr>
                <w:rFonts w:ascii="Barlow" w:hAnsi="Barlow"/>
                <w:sz w:val="22"/>
                <w:szCs w:val="22"/>
                <w:lang w:val="pl-PL"/>
              </w:rPr>
              <w:t>’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>, która</w:t>
            </w:r>
            <w:r w:rsidR="00EF0D8D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pozwala 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>producentowi</w:t>
            </w:r>
            <w:r w:rsidR="00EF0D8D"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 zarządzać kompleksową obsługą opon w imieniu swoich klientów</w:t>
            </w:r>
            <w:r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>T</w:t>
            </w:r>
            <w:r w:rsidRPr="007253EB">
              <w:rPr>
                <w:rFonts w:ascii="Barlow" w:hAnsi="Barlow"/>
                <w:sz w:val="22"/>
                <w:szCs w:val="22"/>
                <w:lang w:val="pl-PL"/>
              </w:rPr>
              <w:t xml:space="preserve">o oparte na subskrypcji rozwiązanie </w:t>
            </w:r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pomaga flotom oszczędzać czas i pieniądze poprzez zewnętrzne zarządzanie oponami, </w:t>
            </w:r>
            <w:r w:rsidR="003C50C0">
              <w:rPr>
                <w:rFonts w:ascii="Barlow" w:hAnsi="Barlow"/>
                <w:sz w:val="22"/>
                <w:szCs w:val="22"/>
                <w:lang w:val="pl-PL"/>
              </w:rPr>
              <w:t>wydłużając</w:t>
            </w:r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 sprawnoś</w:t>
            </w:r>
            <w:r w:rsidR="003C50C0">
              <w:rPr>
                <w:rFonts w:ascii="Barlow" w:hAnsi="Barlow"/>
                <w:sz w:val="22"/>
                <w:szCs w:val="22"/>
                <w:lang w:val="pl-PL"/>
              </w:rPr>
              <w:t>ć</w:t>
            </w:r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 pojazdów i</w:t>
            </w:r>
            <w:r w:rsidR="003C50C0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>zmniejsz</w:t>
            </w:r>
            <w:r w:rsidR="003C50C0">
              <w:rPr>
                <w:rFonts w:ascii="Barlow" w:hAnsi="Barlow"/>
                <w:sz w:val="22"/>
                <w:szCs w:val="22"/>
                <w:lang w:val="pl-PL"/>
              </w:rPr>
              <w:t>ając</w:t>
            </w:r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 liczb</w:t>
            </w:r>
            <w:r w:rsidR="003C50C0">
              <w:rPr>
                <w:rFonts w:ascii="Barlow" w:hAnsi="Barlow"/>
                <w:sz w:val="22"/>
                <w:szCs w:val="22"/>
                <w:lang w:val="pl-PL"/>
              </w:rPr>
              <w:t>ę</w:t>
            </w:r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 awarii.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</w:p>
          <w:p w14:paraId="3B45E0A7" w14:textId="29944823" w:rsidR="00486788" w:rsidRPr="007253EB" w:rsidRDefault="00486788" w:rsidP="007253E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486788">
              <w:rPr>
                <w:rFonts w:ascii="Barlow" w:hAnsi="Barlow"/>
                <w:sz w:val="22"/>
                <w:szCs w:val="22"/>
                <w:lang w:val="pl-PL"/>
              </w:rPr>
              <w:t xml:space="preserve"> „Jesteśmy podekscytowani możliwością 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>uczestnictwa w</w:t>
            </w:r>
            <w:r w:rsidRPr="00486788">
              <w:rPr>
                <w:rFonts w:ascii="Barlow" w:hAnsi="Barlow"/>
                <w:sz w:val="22"/>
                <w:szCs w:val="22"/>
                <w:lang w:val="pl-PL"/>
              </w:rPr>
              <w:t xml:space="preserve"> targach IAA </w:t>
            </w:r>
            <w:proofErr w:type="spellStart"/>
            <w:r w:rsidRPr="00486788">
              <w:rPr>
                <w:rFonts w:ascii="Barlow" w:hAnsi="Barlow"/>
                <w:sz w:val="22"/>
                <w:szCs w:val="22"/>
                <w:lang w:val="pl-PL"/>
              </w:rPr>
              <w:t>Transportation</w:t>
            </w:r>
            <w:proofErr w:type="spellEnd"/>
            <w:r w:rsidRPr="00486788">
              <w:rPr>
                <w:rFonts w:ascii="Barlow" w:hAnsi="Barlow"/>
                <w:sz w:val="22"/>
                <w:szCs w:val="22"/>
                <w:lang w:val="pl-PL"/>
              </w:rPr>
              <w:t xml:space="preserve"> 2024.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To wydarzenie to doskonała okazja do zaprezentowania naszego ekosystemu 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 xml:space="preserve">rozwiązań </w:t>
            </w:r>
            <w:proofErr w:type="spellStart"/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 Total </w:t>
            </w:r>
            <w:proofErr w:type="spellStart"/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>Mobility</w:t>
            </w:r>
            <w:proofErr w:type="spellEnd"/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r w:rsidR="001E1E49">
              <w:rPr>
                <w:rFonts w:ascii="Barlow" w:hAnsi="Barlow"/>
                <w:sz w:val="22"/>
                <w:szCs w:val="22"/>
                <w:lang w:val="pl-PL"/>
              </w:rPr>
              <w:t>C</w:t>
            </w:r>
            <w:r w:rsidR="00EF0D8D" w:rsidRPr="00EF0D8D">
              <w:rPr>
                <w:rFonts w:ascii="Barlow" w:hAnsi="Barlow"/>
                <w:sz w:val="22"/>
                <w:szCs w:val="22"/>
                <w:lang w:val="pl-PL"/>
              </w:rPr>
              <w:t>entralna lokalizacja na targach podkreśla, jak nasze innowacyjne rozwiązania mogą pomóc flotom stać się bardziej wydajnymi i zrównoważonymi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>,” powiedział</w:t>
            </w:r>
            <w:r w:rsidRPr="00486788">
              <w:rPr>
                <w:rFonts w:ascii="Barlow" w:hAnsi="Barlow"/>
                <w:sz w:val="22"/>
                <w:szCs w:val="22"/>
                <w:lang w:val="pl-PL"/>
              </w:rPr>
              <w:t xml:space="preserve"> Maciej Szymański, dyrektor 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 xml:space="preserve">Goodyear </w:t>
            </w:r>
            <w:r w:rsidRPr="00486788">
              <w:rPr>
                <w:rFonts w:ascii="Barlow" w:hAnsi="Barlow"/>
                <w:sz w:val="22"/>
                <w:szCs w:val="22"/>
                <w:lang w:val="pl-PL"/>
              </w:rPr>
              <w:t>ds. marketingu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 xml:space="preserve"> w segmencie opon</w:t>
            </w:r>
            <w:r w:rsidRPr="00486788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>użytkowych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 xml:space="preserve"> w</w:t>
            </w:r>
            <w:r w:rsidR="005F66F4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="00EF0D8D">
              <w:rPr>
                <w:rFonts w:ascii="Barlow" w:hAnsi="Barlow"/>
                <w:sz w:val="22"/>
                <w:szCs w:val="22"/>
                <w:lang w:val="pl-PL"/>
              </w:rPr>
              <w:t>Europie.</w:t>
            </w:r>
          </w:p>
          <w:p w14:paraId="68719FB2" w14:textId="7AF83EB4" w:rsidR="005F66F4" w:rsidRPr="007253EB" w:rsidRDefault="005F66F4" w:rsidP="007253E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hAnsi="Barlow"/>
                <w:sz w:val="22"/>
                <w:szCs w:val="22"/>
                <w:lang w:val="pl-PL"/>
              </w:rPr>
            </w:pPr>
            <w:r w:rsidRPr="005F66F4">
              <w:rPr>
                <w:rFonts w:ascii="Barlow" w:hAnsi="Barlow"/>
                <w:sz w:val="22"/>
                <w:szCs w:val="22"/>
                <w:lang w:val="pl-PL"/>
              </w:rPr>
              <w:t xml:space="preserve">Odwiedzający stoisko </w:t>
            </w:r>
            <w:proofErr w:type="spellStart"/>
            <w:r w:rsidRPr="005F66F4">
              <w:rPr>
                <w:rFonts w:ascii="Barlow" w:hAnsi="Barlow"/>
                <w:sz w:val="22"/>
                <w:szCs w:val="22"/>
                <w:lang w:val="pl-PL"/>
              </w:rPr>
              <w:t>Goodyeara</w:t>
            </w:r>
            <w:proofErr w:type="spellEnd"/>
            <w:r w:rsidRPr="005F66F4">
              <w:rPr>
                <w:rFonts w:ascii="Barlow" w:hAnsi="Barlow"/>
                <w:sz w:val="22"/>
                <w:szCs w:val="22"/>
                <w:lang w:val="pl-PL"/>
              </w:rPr>
              <w:t xml:space="preserve"> będą mogli osobiście przekonać się o</w:t>
            </w:r>
            <w:r w:rsidR="003C50C0">
              <w:rPr>
                <w:rFonts w:ascii="Barlow" w:hAnsi="Barlow"/>
                <w:sz w:val="22"/>
                <w:szCs w:val="22"/>
                <w:lang w:val="pl-PL"/>
              </w:rPr>
              <w:t> </w:t>
            </w:r>
            <w:r w:rsidRPr="005F66F4">
              <w:rPr>
                <w:rFonts w:ascii="Barlow" w:hAnsi="Barlow"/>
                <w:sz w:val="22"/>
                <w:szCs w:val="22"/>
                <w:lang w:val="pl-PL"/>
              </w:rPr>
              <w:t xml:space="preserve">korzyściach płynących z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zastosowania pakietu </w:t>
            </w:r>
            <w:proofErr w:type="spellStart"/>
            <w:r w:rsidRPr="005F66F4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Pr="005F66F4">
              <w:rPr>
                <w:rFonts w:ascii="Barlow" w:hAnsi="Barlow"/>
                <w:sz w:val="22"/>
                <w:szCs w:val="22"/>
                <w:lang w:val="pl-PL"/>
              </w:rPr>
              <w:t xml:space="preserve"> Total </w:t>
            </w:r>
            <w:proofErr w:type="spellStart"/>
            <w:r w:rsidRPr="005F66F4">
              <w:rPr>
                <w:rFonts w:ascii="Barlow" w:hAnsi="Barlow"/>
                <w:sz w:val="22"/>
                <w:szCs w:val="22"/>
                <w:lang w:val="pl-PL"/>
              </w:rPr>
              <w:t>Mobility</w:t>
            </w:r>
            <w:proofErr w:type="spellEnd"/>
            <w:r w:rsidRPr="005F66F4">
              <w:rPr>
                <w:rFonts w:ascii="Barlow" w:hAnsi="Barlow"/>
                <w:sz w:val="22"/>
                <w:szCs w:val="22"/>
                <w:lang w:val="pl-PL"/>
              </w:rPr>
              <w:t xml:space="preserve"> dzięki interaktywnym pokazom </w:t>
            </w:r>
            <w:r w:rsidR="00BE5CA9">
              <w:rPr>
                <w:rFonts w:ascii="Barlow" w:hAnsi="Barlow"/>
                <w:sz w:val="22"/>
                <w:szCs w:val="22"/>
                <w:lang w:val="pl-PL"/>
              </w:rPr>
              <w:t>oraz</w:t>
            </w:r>
            <w:r w:rsidRPr="005F66F4">
              <w:rPr>
                <w:rFonts w:ascii="Barlow" w:hAnsi="Barlow"/>
                <w:sz w:val="22"/>
                <w:szCs w:val="22"/>
                <w:lang w:val="pl-PL"/>
              </w:rPr>
              <w:t xml:space="preserve"> bezpośredni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m</w:t>
            </w:r>
            <w:r w:rsidRPr="005F66F4">
              <w:rPr>
                <w:rFonts w:ascii="Barlow" w:hAnsi="Barlow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 xml:space="preserve">rozmowom </w:t>
            </w:r>
            <w:r w:rsidRPr="005F66F4">
              <w:rPr>
                <w:rFonts w:ascii="Barlow" w:hAnsi="Barlow"/>
                <w:sz w:val="22"/>
                <w:szCs w:val="22"/>
                <w:lang w:val="pl-PL"/>
              </w:rPr>
              <w:t>z ekspertami</w:t>
            </w:r>
            <w:r>
              <w:rPr>
                <w:rFonts w:ascii="Barlow" w:hAnsi="Barlow"/>
                <w:sz w:val="22"/>
                <w:szCs w:val="22"/>
                <w:lang w:val="pl-PL"/>
              </w:rPr>
              <w:t>.</w:t>
            </w:r>
          </w:p>
          <w:p w14:paraId="2BAC0284" w14:textId="025A9810" w:rsidR="00B1306F" w:rsidRPr="007B3CBD" w:rsidRDefault="00B1306F" w:rsidP="00C51BCD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B3CBD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lastRenderedPageBreak/>
              <w:t>Goodyear</w:t>
            </w:r>
          </w:p>
          <w:p w14:paraId="7DD3AFA9" w14:textId="76718E1C" w:rsidR="000422E7" w:rsidRPr="004328E2" w:rsidRDefault="00B1306F" w:rsidP="004328E2">
            <w:pPr>
              <w:pStyle w:val="NormalnyWeb"/>
              <w:shd w:val="clear" w:color="auto" w:fill="FFFFFF"/>
              <w:spacing w:before="180" w:beforeAutospacing="0" w:after="180" w:afterAutospacing="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 jest jedną z największych firm oponiarskich na świecie. Zatrudnia około 71 000 osób i wytwarza swoje produkty w 55 zakładach w 22 krajach świata. Jej dwa ośrodki innowacyjności w Akron w stanie Ohio i w Colmar-Berg w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Luksemburgu dążą do opracowywania najnowocześniejszych produktów i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usług, które wyznaczają standardy technologiczne i eksploatacyjne dla całej branży. Więcej informacji o firmie Goodyear i jej produktach można znaleźć na  https://news.goodyear.eu/pl-pl/.  </w:t>
            </w:r>
          </w:p>
        </w:tc>
      </w:tr>
    </w:tbl>
    <w:p w14:paraId="4C5C123E" w14:textId="77777777" w:rsidR="00EA6ECE" w:rsidRDefault="00EA6ECE" w:rsidP="00046E56">
      <w:pPr>
        <w:rPr>
          <w:lang w:val="pl-PL"/>
        </w:rPr>
      </w:pPr>
    </w:p>
    <w:p w14:paraId="63BE8108" w14:textId="77777777" w:rsidR="00622583" w:rsidRDefault="00622583" w:rsidP="00046E56">
      <w:pPr>
        <w:rPr>
          <w:lang w:val="pl-PL"/>
        </w:rPr>
      </w:pPr>
    </w:p>
    <w:p w14:paraId="511C3021" w14:textId="77777777" w:rsidR="00622583" w:rsidRPr="00EC60AE" w:rsidRDefault="00622583" w:rsidP="00046E56">
      <w:pPr>
        <w:rPr>
          <w:lang w:val="pl-PL"/>
        </w:rPr>
      </w:pPr>
    </w:p>
    <w:sectPr w:rsidR="00622583" w:rsidRPr="00EC60AE" w:rsidSect="00034364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504" w:bottom="1800" w:left="504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EFEDA" w14:textId="77777777" w:rsidR="008C3EA6" w:rsidRDefault="008C3EA6" w:rsidP="00843DB1">
      <w:r>
        <w:separator/>
      </w:r>
    </w:p>
    <w:p w14:paraId="4BF3DEBD" w14:textId="77777777" w:rsidR="008C3EA6" w:rsidRDefault="008C3EA6"/>
  </w:endnote>
  <w:endnote w:type="continuationSeparator" w:id="0">
    <w:p w14:paraId="6832652F" w14:textId="77777777" w:rsidR="008C3EA6" w:rsidRDefault="008C3EA6" w:rsidP="00843DB1">
      <w:r>
        <w:continuationSeparator/>
      </w:r>
    </w:p>
    <w:p w14:paraId="7060A01A" w14:textId="77777777" w:rsidR="008C3EA6" w:rsidRDefault="008C3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590704723"/>
      <w:docPartObj>
        <w:docPartGallery w:val="Page Numbers (Bottom of Page)"/>
        <w:docPartUnique/>
      </w:docPartObj>
    </w:sdtPr>
    <w:sdtContent>
      <w:p w14:paraId="4887588B" w14:textId="7D7436C1" w:rsidR="00EE6D99" w:rsidRDefault="00EE6D99" w:rsidP="00AF7E34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29CF10" w14:textId="77777777" w:rsidR="00694613" w:rsidRDefault="00694613" w:rsidP="00EE6D99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719749790"/>
      <w:docPartObj>
        <w:docPartGallery w:val="Page Numbers (Bottom of Page)"/>
        <w:docPartUnique/>
      </w:docPartObj>
    </w:sdtPr>
    <w:sdtEndPr>
      <w:rPr>
        <w:rStyle w:val="Numerstrony"/>
        <w:rFonts w:ascii="Barlow" w:hAnsi="Barlow"/>
        <w:b/>
        <w:bCs/>
        <w:color w:val="004EA8"/>
        <w:sz w:val="20"/>
        <w:szCs w:val="20"/>
      </w:rPr>
    </w:sdtEndPr>
    <w:sdtContent>
      <w:p w14:paraId="22B6A98B" w14:textId="5F9641C3" w:rsidR="00EE6D99" w:rsidRPr="00EE6D99" w:rsidRDefault="00EE6D99" w:rsidP="001554C8">
        <w:pPr>
          <w:pStyle w:val="Stopka"/>
          <w:framePr w:wrap="none" w:vAnchor="text" w:hAnchor="page" w:x="542" w:y="250"/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</w:pP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begin"/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instrText xml:space="preserve"> PAGE </w:instrTex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separate"/>
        </w:r>
        <w:r w:rsidRPr="00EE6D99">
          <w:rPr>
            <w:rStyle w:val="Numerstrony"/>
            <w:rFonts w:ascii="Barlow" w:hAnsi="Barlow"/>
            <w:b/>
            <w:bCs/>
            <w:noProof/>
            <w:color w:val="004EA8"/>
            <w:sz w:val="20"/>
            <w:szCs w:val="20"/>
          </w:rPr>
          <w:t>1</w: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end"/>
        </w:r>
      </w:p>
    </w:sdtContent>
  </w:sdt>
  <w:p w14:paraId="2E3B1B2C" w14:textId="42D10508" w:rsidR="00B03C98" w:rsidRDefault="00694613" w:rsidP="00EE6D99">
    <w:pPr>
      <w:ind w:firstLine="360"/>
    </w:pPr>
    <w:r w:rsidRPr="00785348">
      <w:rPr>
        <w:rFonts w:ascii="Barlow" w:hAnsi="Barlow"/>
        <w:b/>
        <w:bCs/>
        <w:noProof/>
        <w:color w:val="004E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05E23" wp14:editId="50081EA3">
              <wp:simplePos x="0" y="0"/>
              <wp:positionH relativeFrom="column">
                <wp:posOffset>226060</wp:posOffset>
              </wp:positionH>
              <wp:positionV relativeFrom="paragraph">
                <wp:posOffset>236855</wp:posOffset>
              </wp:positionV>
              <wp:extent cx="4762500" cy="0"/>
              <wp:effectExtent l="0" t="0" r="12700" b="12700"/>
              <wp:wrapNone/>
              <wp:docPr id="161020927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5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ED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B7BDA4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8.65pt" to="39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" strokecolor="#fedb00" strokeweight="1pt">
              <v:stroke joinstyle="miter"/>
            </v:line>
          </w:pict>
        </mc:Fallback>
      </mc:AlternateContent>
    </w:r>
    <w:r w:rsidRPr="00785348">
      <w:rPr>
        <w:rFonts w:ascii="Barlow" w:hAnsi="Barlow"/>
        <w:b/>
        <w:bCs/>
        <w:noProof/>
        <w:color w:val="004EA8"/>
      </w:rPr>
      <w:drawing>
        <wp:anchor distT="0" distB="0" distL="114300" distR="114300" simplePos="0" relativeHeight="251661312" behindDoc="1" locked="0" layoutInCell="1" allowOverlap="1" wp14:anchorId="3EFEEDF4" wp14:editId="14478BD8">
          <wp:simplePos x="0" y="0"/>
          <wp:positionH relativeFrom="column">
            <wp:posOffset>5118100</wp:posOffset>
          </wp:positionH>
          <wp:positionV relativeFrom="paragraph">
            <wp:posOffset>35560</wp:posOffset>
          </wp:positionV>
          <wp:extent cx="1839595" cy="361315"/>
          <wp:effectExtent l="0" t="0" r="1905" b="0"/>
          <wp:wrapNone/>
          <wp:docPr id="304824479" name="Picture 3" descr="A blue logo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917788" name="Picture 3" descr="A blue logo with a bird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32E19" w14:textId="77777777" w:rsidR="008C3EA6" w:rsidRDefault="008C3EA6" w:rsidP="00843DB1">
      <w:r>
        <w:separator/>
      </w:r>
    </w:p>
    <w:p w14:paraId="3E9C3B5D" w14:textId="77777777" w:rsidR="008C3EA6" w:rsidRDefault="008C3EA6"/>
  </w:footnote>
  <w:footnote w:type="continuationSeparator" w:id="0">
    <w:p w14:paraId="751CCAB4" w14:textId="77777777" w:rsidR="008C3EA6" w:rsidRDefault="008C3EA6" w:rsidP="00843DB1">
      <w:r>
        <w:continuationSeparator/>
      </w:r>
    </w:p>
    <w:p w14:paraId="6C996149" w14:textId="77777777" w:rsidR="008C3EA6" w:rsidRDefault="008C3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C10B" w14:textId="77777777" w:rsidR="00815BEE" w:rsidRDefault="00D93046">
    <w:r>
      <w:rPr>
        <w:noProof/>
        <w:color w:val="4472C4" w:themeColor="accent1"/>
        <w:lang w:eastAsia="zh-CN"/>
      </w:rPr>
      <w:drawing>
        <wp:anchor distT="0" distB="0" distL="114300" distR="114300" simplePos="0" relativeHeight="251660288" behindDoc="1" locked="0" layoutInCell="1" allowOverlap="1" wp14:anchorId="088F82B4" wp14:editId="0495ECCA">
          <wp:simplePos x="0" y="0"/>
          <wp:positionH relativeFrom="column">
            <wp:posOffset>-2541</wp:posOffset>
          </wp:positionH>
          <wp:positionV relativeFrom="paragraph">
            <wp:posOffset>-254000</wp:posOffset>
          </wp:positionV>
          <wp:extent cx="2466695" cy="2235200"/>
          <wp:effectExtent l="0" t="0" r="0" b="0"/>
          <wp:wrapNone/>
          <wp:docPr id="1583758517" name="Picture 2" descr="A yellow shoe with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11604" name="Picture 2" descr="A yellow shoe with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03" cy="224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BA1B" wp14:editId="3855648B">
              <wp:simplePos x="0" y="0"/>
              <wp:positionH relativeFrom="page">
                <wp:posOffset>190500</wp:posOffset>
              </wp:positionH>
              <wp:positionV relativeFrom="page">
                <wp:posOffset>254000</wp:posOffset>
              </wp:positionV>
              <wp:extent cx="10328232" cy="2895600"/>
              <wp:effectExtent l="0" t="0" r="0" b="0"/>
              <wp:wrapNone/>
              <wp:docPr id="4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28232" cy="289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C1C97" id="Rectangle 3" o:spid="_x0000_s1026" style="position:absolute;margin-left:15pt;margin-top:20pt;width:813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" filled="f" stroked="f" strokeweight="1.25pt">
              <w10:wrap anchorx="page" anchory="page"/>
            </v:rect>
          </w:pict>
        </mc:Fallback>
      </mc:AlternateContent>
    </w:r>
  </w:p>
  <w:p w14:paraId="649634CA" w14:textId="77777777" w:rsidR="00B03C98" w:rsidRDefault="00B03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51AE"/>
    <w:multiLevelType w:val="hybridMultilevel"/>
    <w:tmpl w:val="95B4BB8E"/>
    <w:lvl w:ilvl="0" w:tplc="7B8E532C">
      <w:start w:val="1"/>
      <w:numFmt w:val="bullet"/>
      <w:lvlText w:val=""/>
      <w:lvlJc w:val="left"/>
      <w:pPr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E9C2932"/>
    <w:multiLevelType w:val="hybridMultilevel"/>
    <w:tmpl w:val="F86E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39E"/>
    <w:multiLevelType w:val="hybridMultilevel"/>
    <w:tmpl w:val="B6DCC36A"/>
    <w:lvl w:ilvl="0" w:tplc="F9EEA534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4575681F"/>
    <w:multiLevelType w:val="hybridMultilevel"/>
    <w:tmpl w:val="337A4AB8"/>
    <w:lvl w:ilvl="0" w:tplc="A07426AA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4FF"/>
    <w:multiLevelType w:val="hybridMultilevel"/>
    <w:tmpl w:val="53A2DBE0"/>
    <w:lvl w:ilvl="0" w:tplc="9E4658B0">
      <w:start w:val="1"/>
      <w:numFmt w:val="bullet"/>
      <w:lvlText w:val="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77D49"/>
    <w:multiLevelType w:val="hybridMultilevel"/>
    <w:tmpl w:val="A388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33110438">
    <w:abstractNumId w:val="6"/>
  </w:num>
  <w:num w:numId="2" w16cid:durableId="1197547242">
    <w:abstractNumId w:val="4"/>
  </w:num>
  <w:num w:numId="3" w16cid:durableId="746071160">
    <w:abstractNumId w:val="2"/>
  </w:num>
  <w:num w:numId="4" w16cid:durableId="1266621793">
    <w:abstractNumId w:val="0"/>
  </w:num>
  <w:num w:numId="5" w16cid:durableId="1435705712">
    <w:abstractNumId w:val="5"/>
  </w:num>
  <w:num w:numId="6" w16cid:durableId="537620543">
    <w:abstractNumId w:val="3"/>
  </w:num>
  <w:num w:numId="7" w16cid:durableId="768087668">
    <w:abstractNumId w:val="8"/>
  </w:num>
  <w:num w:numId="8" w16cid:durableId="2076783608">
    <w:abstractNumId w:val="1"/>
  </w:num>
  <w:num w:numId="9" w16cid:durableId="1925070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2"/>
    <w:rsid w:val="00034364"/>
    <w:rsid w:val="0003461B"/>
    <w:rsid w:val="00034DE1"/>
    <w:rsid w:val="000417A4"/>
    <w:rsid w:val="00041F7E"/>
    <w:rsid w:val="000422E7"/>
    <w:rsid w:val="000435E6"/>
    <w:rsid w:val="00046E56"/>
    <w:rsid w:val="00050E42"/>
    <w:rsid w:val="000555F5"/>
    <w:rsid w:val="0005769A"/>
    <w:rsid w:val="00073410"/>
    <w:rsid w:val="00077453"/>
    <w:rsid w:val="00086FBC"/>
    <w:rsid w:val="000930CF"/>
    <w:rsid w:val="000A17A6"/>
    <w:rsid w:val="000A6657"/>
    <w:rsid w:val="000B0D3C"/>
    <w:rsid w:val="000B0D72"/>
    <w:rsid w:val="000B14DC"/>
    <w:rsid w:val="000B7ECA"/>
    <w:rsid w:val="000C107F"/>
    <w:rsid w:val="000E0E24"/>
    <w:rsid w:val="000E51E6"/>
    <w:rsid w:val="000E74B5"/>
    <w:rsid w:val="000F7974"/>
    <w:rsid w:val="00113602"/>
    <w:rsid w:val="00125B0C"/>
    <w:rsid w:val="00131FB7"/>
    <w:rsid w:val="0014222B"/>
    <w:rsid w:val="001554C8"/>
    <w:rsid w:val="00171F69"/>
    <w:rsid w:val="001906CF"/>
    <w:rsid w:val="001A566F"/>
    <w:rsid w:val="001A6413"/>
    <w:rsid w:val="001C743C"/>
    <w:rsid w:val="001D67E6"/>
    <w:rsid w:val="001E1E49"/>
    <w:rsid w:val="00201F78"/>
    <w:rsid w:val="00204354"/>
    <w:rsid w:val="00221106"/>
    <w:rsid w:val="002236D8"/>
    <w:rsid w:val="00225AFB"/>
    <w:rsid w:val="00241AFB"/>
    <w:rsid w:val="002423C7"/>
    <w:rsid w:val="00263B70"/>
    <w:rsid w:val="00267407"/>
    <w:rsid w:val="002704B9"/>
    <w:rsid w:val="002749F0"/>
    <w:rsid w:val="00274FA1"/>
    <w:rsid w:val="00295F7A"/>
    <w:rsid w:val="002B15FA"/>
    <w:rsid w:val="002C187E"/>
    <w:rsid w:val="002C3B75"/>
    <w:rsid w:val="002C5921"/>
    <w:rsid w:val="002D485F"/>
    <w:rsid w:val="002D545B"/>
    <w:rsid w:val="002E790D"/>
    <w:rsid w:val="003125FD"/>
    <w:rsid w:val="00316D23"/>
    <w:rsid w:val="0032228A"/>
    <w:rsid w:val="003245EB"/>
    <w:rsid w:val="003248B7"/>
    <w:rsid w:val="00341596"/>
    <w:rsid w:val="00352915"/>
    <w:rsid w:val="0035594F"/>
    <w:rsid w:val="00356D5B"/>
    <w:rsid w:val="00362761"/>
    <w:rsid w:val="003640A2"/>
    <w:rsid w:val="00371A76"/>
    <w:rsid w:val="00376807"/>
    <w:rsid w:val="0038257B"/>
    <w:rsid w:val="0038257D"/>
    <w:rsid w:val="003A43DD"/>
    <w:rsid w:val="003A649E"/>
    <w:rsid w:val="003A70F3"/>
    <w:rsid w:val="003B2E83"/>
    <w:rsid w:val="003B7794"/>
    <w:rsid w:val="003C1734"/>
    <w:rsid w:val="003C50C0"/>
    <w:rsid w:val="003D0175"/>
    <w:rsid w:val="003D1647"/>
    <w:rsid w:val="003D51B6"/>
    <w:rsid w:val="003E0243"/>
    <w:rsid w:val="003F41CF"/>
    <w:rsid w:val="003F768A"/>
    <w:rsid w:val="0040231F"/>
    <w:rsid w:val="004109D6"/>
    <w:rsid w:val="004149B2"/>
    <w:rsid w:val="00422298"/>
    <w:rsid w:val="004257A9"/>
    <w:rsid w:val="00426F19"/>
    <w:rsid w:val="00430DF3"/>
    <w:rsid w:val="004328E2"/>
    <w:rsid w:val="0044131C"/>
    <w:rsid w:val="00451543"/>
    <w:rsid w:val="00463A52"/>
    <w:rsid w:val="0046506D"/>
    <w:rsid w:val="00483D3D"/>
    <w:rsid w:val="00484116"/>
    <w:rsid w:val="00486788"/>
    <w:rsid w:val="004910C2"/>
    <w:rsid w:val="00492E51"/>
    <w:rsid w:val="00494CE9"/>
    <w:rsid w:val="004A4209"/>
    <w:rsid w:val="004A4D8E"/>
    <w:rsid w:val="004A761C"/>
    <w:rsid w:val="004B0298"/>
    <w:rsid w:val="004B0EE8"/>
    <w:rsid w:val="004B21A3"/>
    <w:rsid w:val="004B5571"/>
    <w:rsid w:val="004B787E"/>
    <w:rsid w:val="004B7C8C"/>
    <w:rsid w:val="004D663C"/>
    <w:rsid w:val="004E23DC"/>
    <w:rsid w:val="004E43EF"/>
    <w:rsid w:val="004F5BD0"/>
    <w:rsid w:val="00500E1B"/>
    <w:rsid w:val="00506A4B"/>
    <w:rsid w:val="00517E03"/>
    <w:rsid w:val="00522D81"/>
    <w:rsid w:val="00523FB1"/>
    <w:rsid w:val="005241E1"/>
    <w:rsid w:val="0054065F"/>
    <w:rsid w:val="00546CD5"/>
    <w:rsid w:val="0056023E"/>
    <w:rsid w:val="005637C7"/>
    <w:rsid w:val="00570844"/>
    <w:rsid w:val="00571FCA"/>
    <w:rsid w:val="00582E1F"/>
    <w:rsid w:val="00591C4E"/>
    <w:rsid w:val="005A2862"/>
    <w:rsid w:val="005A3E02"/>
    <w:rsid w:val="005B26B6"/>
    <w:rsid w:val="005B7B54"/>
    <w:rsid w:val="005C091F"/>
    <w:rsid w:val="005C3BD9"/>
    <w:rsid w:val="005C4E73"/>
    <w:rsid w:val="005D6D19"/>
    <w:rsid w:val="005F27DA"/>
    <w:rsid w:val="005F66F4"/>
    <w:rsid w:val="005F7C79"/>
    <w:rsid w:val="006013C5"/>
    <w:rsid w:val="0060361F"/>
    <w:rsid w:val="0060394A"/>
    <w:rsid w:val="00621527"/>
    <w:rsid w:val="0062223E"/>
    <w:rsid w:val="00622583"/>
    <w:rsid w:val="00624FC6"/>
    <w:rsid w:val="00627307"/>
    <w:rsid w:val="00634EDC"/>
    <w:rsid w:val="006441C3"/>
    <w:rsid w:val="00656474"/>
    <w:rsid w:val="00663654"/>
    <w:rsid w:val="00664C0B"/>
    <w:rsid w:val="0067169F"/>
    <w:rsid w:val="00675E63"/>
    <w:rsid w:val="00685782"/>
    <w:rsid w:val="00694613"/>
    <w:rsid w:val="0069740D"/>
    <w:rsid w:val="006C5881"/>
    <w:rsid w:val="006D3688"/>
    <w:rsid w:val="006D4B82"/>
    <w:rsid w:val="006E2EDC"/>
    <w:rsid w:val="006E6A91"/>
    <w:rsid w:val="00701AF8"/>
    <w:rsid w:val="00707053"/>
    <w:rsid w:val="00711898"/>
    <w:rsid w:val="00720D8A"/>
    <w:rsid w:val="007253EB"/>
    <w:rsid w:val="007315DE"/>
    <w:rsid w:val="00731DFC"/>
    <w:rsid w:val="007322BF"/>
    <w:rsid w:val="00735631"/>
    <w:rsid w:val="007417A3"/>
    <w:rsid w:val="007527BF"/>
    <w:rsid w:val="00780CF1"/>
    <w:rsid w:val="00785348"/>
    <w:rsid w:val="007856A8"/>
    <w:rsid w:val="007A2237"/>
    <w:rsid w:val="007A320D"/>
    <w:rsid w:val="007A45EE"/>
    <w:rsid w:val="007A6004"/>
    <w:rsid w:val="007A7CBC"/>
    <w:rsid w:val="007B1235"/>
    <w:rsid w:val="007B3CBD"/>
    <w:rsid w:val="007B3FF5"/>
    <w:rsid w:val="007B4708"/>
    <w:rsid w:val="007B7E34"/>
    <w:rsid w:val="007C3C24"/>
    <w:rsid w:val="007D6B8F"/>
    <w:rsid w:val="007E1CAB"/>
    <w:rsid w:val="007E4098"/>
    <w:rsid w:val="007F13DA"/>
    <w:rsid w:val="007F2BE0"/>
    <w:rsid w:val="00801E03"/>
    <w:rsid w:val="00801E49"/>
    <w:rsid w:val="00812765"/>
    <w:rsid w:val="00815BEE"/>
    <w:rsid w:val="008162F9"/>
    <w:rsid w:val="00820970"/>
    <w:rsid w:val="00821CBB"/>
    <w:rsid w:val="00837141"/>
    <w:rsid w:val="008407C8"/>
    <w:rsid w:val="00842F7C"/>
    <w:rsid w:val="00843DB1"/>
    <w:rsid w:val="0085190F"/>
    <w:rsid w:val="00872F66"/>
    <w:rsid w:val="0087395B"/>
    <w:rsid w:val="008A0D9E"/>
    <w:rsid w:val="008A1A35"/>
    <w:rsid w:val="008A1EB9"/>
    <w:rsid w:val="008A3A0E"/>
    <w:rsid w:val="008B110E"/>
    <w:rsid w:val="008B4466"/>
    <w:rsid w:val="008C3EA6"/>
    <w:rsid w:val="008C53A0"/>
    <w:rsid w:val="008D3F44"/>
    <w:rsid w:val="008E0840"/>
    <w:rsid w:val="008E6BAF"/>
    <w:rsid w:val="008F24AE"/>
    <w:rsid w:val="008F4F08"/>
    <w:rsid w:val="008F5066"/>
    <w:rsid w:val="00902A3F"/>
    <w:rsid w:val="009122F4"/>
    <w:rsid w:val="0091517B"/>
    <w:rsid w:val="009324A0"/>
    <w:rsid w:val="009379E7"/>
    <w:rsid w:val="00953D4A"/>
    <w:rsid w:val="00953EF0"/>
    <w:rsid w:val="00961CB4"/>
    <w:rsid w:val="009622C7"/>
    <w:rsid w:val="00971391"/>
    <w:rsid w:val="00973F88"/>
    <w:rsid w:val="00975DC9"/>
    <w:rsid w:val="00984B5E"/>
    <w:rsid w:val="00984FDA"/>
    <w:rsid w:val="00990E09"/>
    <w:rsid w:val="00991FCE"/>
    <w:rsid w:val="00994CCD"/>
    <w:rsid w:val="009A334D"/>
    <w:rsid w:val="009B01BD"/>
    <w:rsid w:val="009B4D55"/>
    <w:rsid w:val="009D240E"/>
    <w:rsid w:val="009D24C9"/>
    <w:rsid w:val="009E3682"/>
    <w:rsid w:val="009E5532"/>
    <w:rsid w:val="009E6530"/>
    <w:rsid w:val="009F1B7E"/>
    <w:rsid w:val="00A0778F"/>
    <w:rsid w:val="00A13388"/>
    <w:rsid w:val="00A14B01"/>
    <w:rsid w:val="00A14B5F"/>
    <w:rsid w:val="00A16476"/>
    <w:rsid w:val="00A16DCD"/>
    <w:rsid w:val="00A212EE"/>
    <w:rsid w:val="00A22098"/>
    <w:rsid w:val="00A22CF1"/>
    <w:rsid w:val="00A26430"/>
    <w:rsid w:val="00A408E1"/>
    <w:rsid w:val="00A4447D"/>
    <w:rsid w:val="00A559C5"/>
    <w:rsid w:val="00A617B3"/>
    <w:rsid w:val="00A65982"/>
    <w:rsid w:val="00A731F0"/>
    <w:rsid w:val="00A73244"/>
    <w:rsid w:val="00A74E5A"/>
    <w:rsid w:val="00A81BB3"/>
    <w:rsid w:val="00A9387F"/>
    <w:rsid w:val="00A942B1"/>
    <w:rsid w:val="00AA3DA9"/>
    <w:rsid w:val="00AA75C0"/>
    <w:rsid w:val="00AC421D"/>
    <w:rsid w:val="00AC45A3"/>
    <w:rsid w:val="00AC5BAC"/>
    <w:rsid w:val="00AD0AEE"/>
    <w:rsid w:val="00AD13D8"/>
    <w:rsid w:val="00AD78CC"/>
    <w:rsid w:val="00AE59E5"/>
    <w:rsid w:val="00B006D9"/>
    <w:rsid w:val="00B01373"/>
    <w:rsid w:val="00B03C98"/>
    <w:rsid w:val="00B1215D"/>
    <w:rsid w:val="00B1306F"/>
    <w:rsid w:val="00B22B37"/>
    <w:rsid w:val="00B25844"/>
    <w:rsid w:val="00B3031A"/>
    <w:rsid w:val="00B34E48"/>
    <w:rsid w:val="00B41545"/>
    <w:rsid w:val="00B614BD"/>
    <w:rsid w:val="00B64A14"/>
    <w:rsid w:val="00B67123"/>
    <w:rsid w:val="00B717DE"/>
    <w:rsid w:val="00B74C29"/>
    <w:rsid w:val="00B8434A"/>
    <w:rsid w:val="00B91521"/>
    <w:rsid w:val="00B92D66"/>
    <w:rsid w:val="00B94FBE"/>
    <w:rsid w:val="00BA251F"/>
    <w:rsid w:val="00BA37BD"/>
    <w:rsid w:val="00BC6086"/>
    <w:rsid w:val="00BD79E7"/>
    <w:rsid w:val="00BE1840"/>
    <w:rsid w:val="00BE5CA9"/>
    <w:rsid w:val="00BF7FF3"/>
    <w:rsid w:val="00C12772"/>
    <w:rsid w:val="00C16D73"/>
    <w:rsid w:val="00C17ADF"/>
    <w:rsid w:val="00C203E5"/>
    <w:rsid w:val="00C35694"/>
    <w:rsid w:val="00C417ED"/>
    <w:rsid w:val="00C424C4"/>
    <w:rsid w:val="00C51BCD"/>
    <w:rsid w:val="00C53357"/>
    <w:rsid w:val="00C620BF"/>
    <w:rsid w:val="00C64C9A"/>
    <w:rsid w:val="00C86AD2"/>
    <w:rsid w:val="00C872F1"/>
    <w:rsid w:val="00C9665D"/>
    <w:rsid w:val="00CB64B4"/>
    <w:rsid w:val="00CB7944"/>
    <w:rsid w:val="00CC1397"/>
    <w:rsid w:val="00CC4C9D"/>
    <w:rsid w:val="00CC7743"/>
    <w:rsid w:val="00CD10E0"/>
    <w:rsid w:val="00CF2CCC"/>
    <w:rsid w:val="00CF77B1"/>
    <w:rsid w:val="00D1356B"/>
    <w:rsid w:val="00D245CA"/>
    <w:rsid w:val="00D25684"/>
    <w:rsid w:val="00D27761"/>
    <w:rsid w:val="00D349C5"/>
    <w:rsid w:val="00D42554"/>
    <w:rsid w:val="00D5661E"/>
    <w:rsid w:val="00D57E0C"/>
    <w:rsid w:val="00D63438"/>
    <w:rsid w:val="00D72502"/>
    <w:rsid w:val="00D74B1F"/>
    <w:rsid w:val="00D85859"/>
    <w:rsid w:val="00D864C5"/>
    <w:rsid w:val="00D93046"/>
    <w:rsid w:val="00DA16D8"/>
    <w:rsid w:val="00DB0BF9"/>
    <w:rsid w:val="00DB6E36"/>
    <w:rsid w:val="00DC3AC8"/>
    <w:rsid w:val="00DC5D89"/>
    <w:rsid w:val="00DC6A0E"/>
    <w:rsid w:val="00DC6DF6"/>
    <w:rsid w:val="00DD368A"/>
    <w:rsid w:val="00DF0314"/>
    <w:rsid w:val="00DF291F"/>
    <w:rsid w:val="00DF31D7"/>
    <w:rsid w:val="00E02D1F"/>
    <w:rsid w:val="00E04164"/>
    <w:rsid w:val="00E0573C"/>
    <w:rsid w:val="00E34121"/>
    <w:rsid w:val="00E41E07"/>
    <w:rsid w:val="00E42593"/>
    <w:rsid w:val="00E51C83"/>
    <w:rsid w:val="00E57AF2"/>
    <w:rsid w:val="00E621F0"/>
    <w:rsid w:val="00E70DEA"/>
    <w:rsid w:val="00E7113A"/>
    <w:rsid w:val="00E81DE4"/>
    <w:rsid w:val="00E913CB"/>
    <w:rsid w:val="00EA6ECE"/>
    <w:rsid w:val="00EB3346"/>
    <w:rsid w:val="00EC4F1A"/>
    <w:rsid w:val="00EC60AE"/>
    <w:rsid w:val="00ED17B3"/>
    <w:rsid w:val="00EE623A"/>
    <w:rsid w:val="00EE6D99"/>
    <w:rsid w:val="00EF0D8D"/>
    <w:rsid w:val="00EF21DE"/>
    <w:rsid w:val="00F022D8"/>
    <w:rsid w:val="00F04FA8"/>
    <w:rsid w:val="00F2057B"/>
    <w:rsid w:val="00F27EA2"/>
    <w:rsid w:val="00F308F3"/>
    <w:rsid w:val="00F32778"/>
    <w:rsid w:val="00F35A51"/>
    <w:rsid w:val="00F428EC"/>
    <w:rsid w:val="00F45B5F"/>
    <w:rsid w:val="00F45F44"/>
    <w:rsid w:val="00F469AC"/>
    <w:rsid w:val="00F52BD3"/>
    <w:rsid w:val="00F60033"/>
    <w:rsid w:val="00F67908"/>
    <w:rsid w:val="00F77477"/>
    <w:rsid w:val="00F80BC1"/>
    <w:rsid w:val="00F9699D"/>
    <w:rsid w:val="00F96DB8"/>
    <w:rsid w:val="00FB4B8C"/>
    <w:rsid w:val="00FD35DD"/>
    <w:rsid w:val="00FE3E32"/>
    <w:rsid w:val="00FE560A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3011"/>
  <w15:chartTrackingRefBased/>
  <w15:docId w15:val="{13067B3F-190F-BA41-A1A3-3D8330D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link w:val="Nagwek2Znak"/>
    <w:uiPriority w:val="9"/>
    <w:qFormat/>
    <w:rsid w:val="00752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61"/>
    <w:pPr>
      <w:spacing w:after="200" w:line="276" w:lineRule="auto"/>
      <w:ind w:left="720"/>
      <w:contextualSpacing/>
      <w:jc w:val="both"/>
    </w:pPr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203E5"/>
    <w:rPr>
      <w:rFonts w:ascii="Barlow" w:hAnsi="Barlow"/>
      <w:b w:val="0"/>
      <w:i w:val="0"/>
      <w:color w:val="004EA8"/>
      <w:sz w:val="22"/>
      <w:u w:val="single" w:color="004EA8"/>
    </w:rPr>
  </w:style>
  <w:style w:type="paragraph" w:customStyle="1" w:styleId="NEWSRELEASE">
    <w:name w:val="NEWS RELEASE"/>
    <w:basedOn w:val="Normalny"/>
    <w:qFormat/>
    <w:rsid w:val="00DC5D89"/>
    <w:pPr>
      <w:spacing w:after="360"/>
    </w:pPr>
    <w:rPr>
      <w:rFonts w:ascii="Barlow" w:hAnsi="Barlow"/>
      <w:b/>
      <w:bCs/>
      <w:color w:val="004EA8"/>
      <w:sz w:val="60"/>
      <w:szCs w:val="60"/>
    </w:rPr>
  </w:style>
  <w:style w:type="paragraph" w:customStyle="1" w:styleId="HEADLINE">
    <w:name w:val="HEADLINE"/>
    <w:basedOn w:val="Normalny"/>
    <w:qFormat/>
    <w:rsid w:val="008A1EB9"/>
    <w:pPr>
      <w:spacing w:after="240"/>
    </w:pPr>
    <w:rPr>
      <w:rFonts w:ascii="Barlow" w:hAnsi="Barlow" w:cs="Times New Roman (Body CS)"/>
      <w:b/>
      <w:bCs/>
      <w:caps/>
    </w:rPr>
  </w:style>
  <w:style w:type="paragraph" w:customStyle="1" w:styleId="SUBHEAD">
    <w:name w:val="SUBHEAD"/>
    <w:basedOn w:val="Normalny"/>
    <w:qFormat/>
    <w:rsid w:val="00A16476"/>
    <w:pPr>
      <w:spacing w:after="240"/>
    </w:pPr>
    <w:rPr>
      <w:rFonts w:ascii="Barlow" w:hAnsi="Barlow"/>
      <w:b/>
      <w:bCs/>
    </w:rPr>
  </w:style>
  <w:style w:type="paragraph" w:customStyle="1" w:styleId="CONTACTS">
    <w:name w:val="CONTACTS"/>
    <w:basedOn w:val="Normalny"/>
    <w:qFormat/>
    <w:rsid w:val="003B2E83"/>
    <w:pPr>
      <w:spacing w:after="405"/>
    </w:pPr>
    <w:rPr>
      <w:rFonts w:ascii="Barlow" w:hAnsi="Barlow" w:cs="Times New Roman"/>
      <w:b/>
      <w:bCs/>
      <w:color w:val="004EA8"/>
      <w:sz w:val="26"/>
      <w:szCs w:val="26"/>
    </w:rPr>
  </w:style>
  <w:style w:type="character" w:customStyle="1" w:styleId="contactdetail">
    <w:name w:val="contact detail"/>
    <w:basedOn w:val="Domylnaczcionkaakapitu"/>
    <w:uiPriority w:val="1"/>
    <w:qFormat/>
    <w:rsid w:val="003F768A"/>
    <w:rPr>
      <w:rFonts w:ascii="Barlow" w:hAnsi="Barlow" w:cs="Times New Roman"/>
      <w:caps/>
      <w:smallCaps w:val="0"/>
      <w:color w:val="004EA8"/>
      <w:sz w:val="16"/>
      <w:szCs w:val="16"/>
    </w:rPr>
  </w:style>
  <w:style w:type="paragraph" w:customStyle="1" w:styleId="BODY">
    <w:name w:val="BODY"/>
    <w:basedOn w:val="Normalny"/>
    <w:qFormat/>
    <w:rsid w:val="00A4447D"/>
    <w:pPr>
      <w:spacing w:after="240"/>
    </w:pPr>
    <w:rPr>
      <w:rFonts w:ascii="Barlow" w:hAnsi="Barlow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3D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B1"/>
    <w:rPr>
      <w:rFonts w:eastAsiaTheme="minorEastAsia"/>
    </w:rPr>
  </w:style>
  <w:style w:type="table" w:styleId="Tabela-Siatka">
    <w:name w:val="Table Grid"/>
    <w:basedOn w:val="Standardowy"/>
    <w:uiPriority w:val="39"/>
    <w:rsid w:val="00B1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hyperlink">
    <w:name w:val="contact hyperlink"/>
    <w:basedOn w:val="contactdetail"/>
    <w:uiPriority w:val="1"/>
    <w:qFormat/>
    <w:rsid w:val="003F768A"/>
    <w:rPr>
      <w:rFonts w:ascii="Barlow" w:hAnsi="Barlow" w:cs="Times New Roman"/>
      <w:caps/>
      <w:smallCaps w:val="0"/>
      <w:strike w:val="0"/>
      <w:dstrike w:val="0"/>
      <w:vanish w:val="0"/>
      <w:color w:val="004EA8"/>
      <w:sz w:val="16"/>
      <w:szCs w:val="16"/>
      <w:u w:val="single"/>
      <w:vertAlign w:val="baseli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8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154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61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613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EE6D99"/>
  </w:style>
  <w:style w:type="paragraph" w:styleId="NormalnyWeb">
    <w:name w:val="Normal (Web)"/>
    <w:basedOn w:val="Normalny"/>
    <w:uiPriority w:val="99"/>
    <w:unhideWhenUsed/>
    <w:rsid w:val="00C620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527BF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styleId="Pogrubienie">
    <w:name w:val="Strong"/>
    <w:basedOn w:val="Domylnaczcionkaakapitu"/>
    <w:uiPriority w:val="22"/>
    <w:qFormat/>
    <w:rsid w:val="007527BF"/>
    <w:rPr>
      <w:b/>
      <w:bCs/>
    </w:rPr>
  </w:style>
  <w:style w:type="paragraph" w:styleId="Poprawka">
    <w:name w:val="Revision"/>
    <w:hidden/>
    <w:uiPriority w:val="99"/>
    <w:semiHidden/>
    <w:rsid w:val="00356D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88A9F1CB0B44B370E553537807D5" ma:contentTypeVersion="18" ma:contentTypeDescription="Create a new document." ma:contentTypeScope="" ma:versionID="65b5d9a387887a9a6e8e059d9cf09066">
  <xsd:schema xmlns:xsd="http://www.w3.org/2001/XMLSchema" xmlns:xs="http://www.w3.org/2001/XMLSchema" xmlns:p="http://schemas.microsoft.com/office/2006/metadata/properties" xmlns:ns2="a85246f7-9664-4acb-b845-85565ddc9a5b" xmlns:ns3="ecc6b888-003c-4fef-9e0d-5a866d792066" xmlns:ns4="ede2196a-f95a-4ce9-a5d1-0ad1e2957685" targetNamespace="http://schemas.microsoft.com/office/2006/metadata/properties" ma:root="true" ma:fieldsID="3d4fec85aec08cb90578c0e3a68b9be1" ns2:_="" ns3:_="" ns4:_="">
    <xsd:import namespace="a85246f7-9664-4acb-b845-85565ddc9a5b"/>
    <xsd:import namespace="ecc6b888-003c-4fef-9e0d-5a866d792066"/>
    <xsd:import namespace="ede2196a-f95a-4ce9-a5d1-0ad1e2957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46f7-9664-4acb-b845-85565dd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26052-1bf0-409f-8a84-82be1c828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b888-003c-4fef-9e0d-5a866d79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196a-f95a-4ce9-a5d1-0ad1e2957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4b64fc-ab71-4db4-be1a-cdc03a4efc9c}" ma:internalName="TaxCatchAll" ma:showField="CatchAllData" ma:web="ecc6b888-003c-4fef-9e0d-5a866d79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02A1A-5544-4665-862E-544522F37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0AFCC-7184-4663-A4D1-326E52D9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246f7-9664-4acb-b845-85565ddc9a5b"/>
    <ds:schemaRef ds:uri="ecc6b888-003c-4fef-9e0d-5a866d792066"/>
    <ds:schemaRef ds:uri="ede2196a-f95a-4ce9-a5d1-0ad1e295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laurie_heiser@goodyear.com</dc:creator>
  <cp:keywords/>
  <dc:description/>
  <cp:lastModifiedBy>Marlena Garucka</cp:lastModifiedBy>
  <cp:revision>3</cp:revision>
  <dcterms:created xsi:type="dcterms:W3CDTF">2024-07-29T06:48:00Z</dcterms:created>
  <dcterms:modified xsi:type="dcterms:W3CDTF">2024-07-29T07:26:00Z</dcterms:modified>
</cp:coreProperties>
</file>